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C97EF7" w:rsidP="009113D4">
            <w:pPr>
              <w:pStyle w:val="Header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Nisan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Header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9113D4">
            <w:pPr>
              <w:pStyle w:val="Header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17</w:t>
            </w:r>
            <w:r w:rsidR="0012715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6BE153E4" wp14:editId="3E5C4DA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Header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C97EF7">
        <w:rPr>
          <w:rFonts w:ascii="Times New Roman" w:hAnsi="Times New Roman" w:cs="Times New Roman"/>
          <w:b/>
        </w:rPr>
        <w:t>Nisan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C97EF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C97EF7">
        <w:rPr>
          <w:rFonts w:ascii="Times New Roman" w:hAnsi="Times New Roman" w:cs="Times New Roman"/>
          <w:b/>
        </w:rPr>
        <w:t>Temmuz</w:t>
      </w:r>
      <w:r>
        <w:rPr>
          <w:rFonts w:ascii="Times New Roman" w:hAnsi="Times New Roman" w:cs="Times New Roman"/>
          <w:b/>
        </w:rPr>
        <w:t xml:space="preserve"> 2017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Default="00670F81" w:rsidP="00F62957">
      <w:pPr>
        <w:pStyle w:val="Heading2"/>
        <w:jc w:val="both"/>
      </w:pPr>
      <w:r>
        <w:t>2017</w:t>
      </w:r>
      <w:r w:rsidR="0012715C">
        <w:t>’</w:t>
      </w:r>
      <w:r w:rsidR="00C97EF7">
        <w:t>nin Nisan</w:t>
      </w:r>
      <w:r w:rsidR="0012715C">
        <w:t xml:space="preserve"> a</w:t>
      </w:r>
      <w:r w:rsidR="0082221F">
        <w:t>yında Türkiye’de toplam işsiz sayısı</w:t>
      </w:r>
      <w:r w:rsidR="00C97EF7">
        <w:t>, geçen yılın aynı dönemine göre 463 bin kişi artarak 3 milyon 287 bin kişi oldu. Böylece işsizlik oranı</w:t>
      </w:r>
      <w:r w:rsidR="0012715C">
        <w:t xml:space="preserve"> </w:t>
      </w:r>
      <w:r w:rsidR="00C97EF7">
        <w:t>1,2</w:t>
      </w:r>
      <w:r>
        <w:t xml:space="preserve"> puanlık artış</w:t>
      </w:r>
      <w:r w:rsidR="00C97EF7">
        <w:t xml:space="preserve"> ile %10</w:t>
      </w:r>
      <w:r>
        <w:t>,</w:t>
      </w:r>
      <w:r w:rsidR="00C97EF7">
        <w:t>5</w:t>
      </w:r>
      <w:r w:rsidR="001E65DA">
        <w:t xml:space="preserve">, </w:t>
      </w:r>
      <w:r w:rsidR="00F21401">
        <w:t xml:space="preserve">tarım dışı </w:t>
      </w:r>
      <w:r w:rsidR="0012715C">
        <w:t xml:space="preserve">işsizlik </w:t>
      </w:r>
      <w:r w:rsidR="00D605AD">
        <w:t xml:space="preserve">oranı </w:t>
      </w:r>
      <w:r w:rsidR="0012715C">
        <w:t xml:space="preserve">ise </w:t>
      </w:r>
      <w:r>
        <w:t>1,</w:t>
      </w:r>
      <w:r w:rsidR="00C97EF7">
        <w:t>4 puanlık artış ile %12,4</w:t>
      </w:r>
      <w:r w:rsidR="00C67B1D">
        <w:t xml:space="preserve"> olarak gerçekleşti</w:t>
      </w:r>
      <w:r w:rsidR="00D605AD">
        <w:t>. Genç nüfusta</w:t>
      </w:r>
      <w:r w:rsidR="001E65DA">
        <w:t xml:space="preserve"> işsizlik</w:t>
      </w:r>
      <w:r w:rsidR="0012715C">
        <w:t xml:space="preserve"> </w:t>
      </w:r>
      <w:r w:rsidR="00D605AD">
        <w:t xml:space="preserve">oranı ise </w:t>
      </w:r>
      <w:r w:rsidR="00C97EF7">
        <w:t>3,8 puan artarak %19</w:t>
      </w:r>
      <w:r>
        <w:t>,</w:t>
      </w:r>
      <w:r w:rsidR="00C97EF7">
        <w:t>8</w:t>
      </w:r>
      <w:r w:rsidR="001E65DA">
        <w:t xml:space="preserve"> oranı</w:t>
      </w:r>
      <w:r w:rsidR="00C67B1D">
        <w:t xml:space="preserve">na </w:t>
      </w:r>
      <w:r w:rsidR="00C97EF7">
        <w:t>yükseldi</w:t>
      </w:r>
      <w:r w:rsidR="00C67B1D">
        <w:t>.</w:t>
      </w:r>
    </w:p>
    <w:p w:rsidR="00F62957" w:rsidRPr="00F62957" w:rsidRDefault="00F62957" w:rsidP="00F62957"/>
    <w:p w:rsidR="00B957A3" w:rsidRDefault="00C97EF7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Nisan</w:t>
      </w:r>
      <w:r w:rsidR="00236A4A">
        <w:rPr>
          <w:rFonts w:ascii="Times New Roman" w:hAnsi="Times New Roman" w:cs="Times New Roman"/>
        </w:rPr>
        <w:t xml:space="preserve">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 xml:space="preserve">rde istihdam edilen kişi sayısı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>519</w:t>
      </w:r>
      <w:r w:rsidR="0012715C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157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C97EF7">
        <w:rPr>
          <w:rFonts w:ascii="Times New Roman" w:hAnsi="Times New Roman" w:cs="Times New Roman"/>
          <w:b/>
          <w:szCs w:val="18"/>
        </w:rPr>
        <w:t>Nisan 2016- Nisan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</w:p>
    <w:p w:rsidR="007E639F" w:rsidRDefault="007E639F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CC064E2" wp14:editId="673AFFEC">
            <wp:extent cx="6162675" cy="24003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7CCD" w:rsidRDefault="00F87CCD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7E639F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Nisan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82221F">
        <w:rPr>
          <w:rFonts w:ascii="Times New Roman" w:hAnsi="Times New Roman" w:cs="Times New Roman"/>
          <w:szCs w:val="18"/>
        </w:rPr>
        <w:t>,</w:t>
      </w:r>
      <w:bookmarkStart w:id="0" w:name="_GoBack"/>
      <w:bookmarkEnd w:id="0"/>
      <w:r w:rsidR="00141A4E">
        <w:rPr>
          <w:rFonts w:ascii="Times New Roman" w:hAnsi="Times New Roman" w:cs="Times New Roman"/>
          <w:szCs w:val="18"/>
        </w:rPr>
        <w:t xml:space="preserve"> 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 w:rsidR="00A26574">
        <w:rPr>
          <w:rFonts w:ascii="Times New Roman" w:hAnsi="Times New Roman" w:cs="Times New Roman"/>
          <w:szCs w:val="18"/>
        </w:rPr>
        <w:t>artarak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A26574">
        <w:rPr>
          <w:rFonts w:ascii="Times New Roman" w:hAnsi="Times New Roman" w:cs="Times New Roman"/>
          <w:szCs w:val="18"/>
        </w:rPr>
        <w:t>20</w:t>
      </w:r>
      <w:r w:rsidR="001F6532">
        <w:rPr>
          <w:rFonts w:ascii="Times New Roman" w:hAnsi="Times New Roman" w:cs="Times New Roman"/>
          <w:szCs w:val="18"/>
        </w:rPr>
        <w:t>,1 milyona ulaşırken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D605AD">
        <w:rPr>
          <w:rFonts w:ascii="Times New Roman" w:hAnsi="Times New Roman" w:cs="Times New Roman"/>
          <w:szCs w:val="18"/>
        </w:rPr>
        <w:t>8</w:t>
      </w:r>
      <w:r w:rsidR="00F87CCD">
        <w:rPr>
          <w:rFonts w:ascii="Times New Roman" w:hAnsi="Times New Roman" w:cs="Times New Roman"/>
          <w:szCs w:val="18"/>
        </w:rPr>
        <w:t>,</w:t>
      </w:r>
      <w:r w:rsidR="00A26574">
        <w:rPr>
          <w:rFonts w:ascii="Times New Roman" w:hAnsi="Times New Roman" w:cs="Times New Roman"/>
          <w:szCs w:val="18"/>
        </w:rPr>
        <w:t>2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>bir önceki yılın aynı dönemine göre a</w:t>
      </w:r>
      <w:r w:rsidR="000F534F">
        <w:rPr>
          <w:rFonts w:ascii="Times New Roman" w:hAnsi="Times New Roman" w:cs="Times New Roman"/>
          <w:szCs w:val="18"/>
        </w:rPr>
        <w:t>rta</w:t>
      </w:r>
      <w:r w:rsidR="00F87CCD">
        <w:rPr>
          <w:rFonts w:ascii="Times New Roman" w:hAnsi="Times New Roman" w:cs="Times New Roman"/>
          <w:szCs w:val="18"/>
        </w:rPr>
        <w:t>rak 28,</w:t>
      </w:r>
      <w:r w:rsidR="00A26574">
        <w:rPr>
          <w:rFonts w:ascii="Times New Roman" w:hAnsi="Times New Roman" w:cs="Times New Roman"/>
          <w:szCs w:val="18"/>
        </w:rPr>
        <w:t>3</w:t>
      </w:r>
      <w:r w:rsidR="000F534F">
        <w:rPr>
          <w:rFonts w:ascii="Times New Roman" w:hAnsi="Times New Roman" w:cs="Times New Roman"/>
          <w:szCs w:val="18"/>
        </w:rPr>
        <w:t xml:space="preserve"> milyon kişiye ulaştı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F87CCD">
        <w:rPr>
          <w:rFonts w:ascii="Times New Roman" w:hAnsi="Times New Roman" w:cs="Times New Roman"/>
          <w:szCs w:val="18"/>
        </w:rPr>
        <w:t>istihdamı 5,</w:t>
      </w:r>
      <w:r w:rsidR="00A26574">
        <w:rPr>
          <w:rFonts w:ascii="Times New Roman" w:hAnsi="Times New Roman" w:cs="Times New Roman"/>
          <w:szCs w:val="18"/>
        </w:rPr>
        <w:t>3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0F534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 w:rsidR="00A26574">
        <w:rPr>
          <w:rFonts w:ascii="Times New Roman" w:hAnsi="Times New Roman" w:cs="Times New Roman"/>
          <w:szCs w:val="18"/>
        </w:rPr>
        <w:t>8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1F653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Nisan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</w:p>
    <w:p w:rsidR="00A26574" w:rsidRPr="00B27A6A" w:rsidRDefault="00A74D07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17082361" wp14:editId="3729175F">
            <wp:extent cx="6029325" cy="19812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7CCD" w:rsidRDefault="00F87CCD" w:rsidP="009113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A26574">
        <w:rPr>
          <w:rFonts w:ascii="Times New Roman" w:hAnsi="Times New Roman" w:cs="Times New Roman"/>
          <w:sz w:val="24"/>
        </w:rPr>
        <w:t>0,8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A26574">
        <w:rPr>
          <w:rFonts w:ascii="Times New Roman" w:hAnsi="Times New Roman" w:cs="Times New Roman"/>
          <w:sz w:val="24"/>
        </w:rPr>
        <w:t>la yüzde 33,4</w:t>
      </w:r>
      <w:r>
        <w:rPr>
          <w:rFonts w:ascii="Times New Roman" w:hAnsi="Times New Roman" w:cs="Times New Roman"/>
          <w:sz w:val="24"/>
        </w:rPr>
        <w:t>’</w:t>
      </w:r>
      <w:r w:rsidR="00A26574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F21401">
        <w:rPr>
          <w:rFonts w:ascii="Times New Roman" w:hAnsi="Times New Roman" w:cs="Times New Roman"/>
          <w:sz w:val="24"/>
        </w:rPr>
        <w:t xml:space="preserve">de </w:t>
      </w:r>
      <w:r w:rsidR="00333A6F">
        <w:rPr>
          <w:rFonts w:ascii="Times New Roman" w:hAnsi="Times New Roman" w:cs="Times New Roman"/>
          <w:sz w:val="24"/>
        </w:rPr>
        <w:t xml:space="preserve">0,4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A26574">
        <w:rPr>
          <w:rFonts w:ascii="Times New Roman" w:hAnsi="Times New Roman" w:cs="Times New Roman"/>
          <w:sz w:val="24"/>
        </w:rPr>
        <w:t>2,3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A26574">
        <w:rPr>
          <w:rFonts w:ascii="Times New Roman" w:hAnsi="Times New Roman" w:cs="Times New Roman"/>
          <w:sz w:val="24"/>
        </w:rPr>
        <w:t>Nisan’da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A26574">
        <w:rPr>
          <w:rFonts w:ascii="Times New Roman" w:hAnsi="Times New Roman" w:cs="Times New Roman"/>
          <w:sz w:val="24"/>
        </w:rPr>
        <w:t>şgücüne katılım oranı yüzde 52,7</w:t>
      </w:r>
      <w:r>
        <w:rPr>
          <w:rFonts w:ascii="Times New Roman" w:hAnsi="Times New Roman" w:cs="Times New Roman"/>
          <w:sz w:val="24"/>
        </w:rPr>
        <w:t xml:space="preserve"> olarak gerçekleşti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ise 2016</w:t>
      </w:r>
      <w:r>
        <w:rPr>
          <w:rFonts w:ascii="Times New Roman" w:hAnsi="Times New Roman" w:cs="Times New Roman"/>
        </w:rPr>
        <w:t xml:space="preserve"> yılının aynı dönemine</w:t>
      </w:r>
      <w:r w:rsidR="002A35B5">
        <w:rPr>
          <w:rFonts w:ascii="Times New Roman" w:hAnsi="Times New Roman" w:cs="Times New Roman"/>
        </w:rPr>
        <w:t xml:space="preserve"> göre </w:t>
      </w:r>
      <w:r w:rsidR="00496F35">
        <w:rPr>
          <w:rFonts w:ascii="Times New Roman" w:hAnsi="Times New Roman" w:cs="Times New Roman"/>
        </w:rPr>
        <w:t>artarak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A26574">
        <w:rPr>
          <w:rFonts w:ascii="Times New Roman" w:hAnsi="Times New Roman" w:cs="Times New Roman"/>
        </w:rPr>
        <w:t>287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1F6532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A26574">
        <w:rPr>
          <w:rFonts w:ascii="Times New Roman" w:hAnsi="Times New Roman" w:cs="Times New Roman"/>
        </w:rPr>
        <w:t>5’</w:t>
      </w:r>
      <w:r w:rsidR="00D605AD">
        <w:rPr>
          <w:rFonts w:ascii="Times New Roman" w:hAnsi="Times New Roman" w:cs="Times New Roman"/>
        </w:rPr>
        <w:t>e</w:t>
      </w:r>
      <w:r w:rsidR="00A26574">
        <w:rPr>
          <w:rFonts w:ascii="Times New Roman" w:hAnsi="Times New Roman" w:cs="Times New Roman"/>
        </w:rPr>
        <w:t>; kadınlarda yüzde 13</w:t>
      </w:r>
      <w:r>
        <w:rPr>
          <w:rFonts w:ascii="Times New Roman" w:hAnsi="Times New Roman" w:cs="Times New Roman"/>
        </w:rPr>
        <w:t>,</w:t>
      </w:r>
      <w:r w:rsidR="00A26574">
        <w:rPr>
          <w:rFonts w:ascii="Times New Roman" w:hAnsi="Times New Roman" w:cs="Times New Roman"/>
        </w:rPr>
        <w:t>2</w:t>
      </w:r>
      <w:r w:rsidR="00D605AD">
        <w:rPr>
          <w:rFonts w:ascii="Times New Roman" w:hAnsi="Times New Roman" w:cs="Times New Roman"/>
        </w:rPr>
        <w:t>’</w:t>
      </w:r>
      <w:r w:rsidR="00A26574">
        <w:rPr>
          <w:rFonts w:ascii="Times New Roman" w:hAnsi="Times New Roman" w:cs="Times New Roman"/>
        </w:rPr>
        <w:t>y</w:t>
      </w:r>
      <w:r w:rsidR="00D605AD">
        <w:rPr>
          <w:rFonts w:ascii="Times New Roman" w:hAnsi="Times New Roman" w:cs="Times New Roman"/>
        </w:rPr>
        <w:t>e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A26574">
        <w:rPr>
          <w:rFonts w:ascii="Times New Roman" w:hAnsi="Times New Roman" w:cs="Times New Roman"/>
        </w:rPr>
        <w:t>9,1</w:t>
      </w:r>
      <w:r w:rsidR="001A195B">
        <w:rPr>
          <w:rFonts w:ascii="Times New Roman" w:hAnsi="Times New Roman" w:cs="Times New Roman"/>
        </w:rPr>
        <w:t>’</w:t>
      </w:r>
      <w:r w:rsidR="00496F35">
        <w:rPr>
          <w:rFonts w:ascii="Times New Roman" w:hAnsi="Times New Roman" w:cs="Times New Roman"/>
        </w:rPr>
        <w:t xml:space="preserve">e ulaşmış </w:t>
      </w:r>
      <w:r w:rsidR="0027053F">
        <w:rPr>
          <w:rFonts w:ascii="Times New Roman" w:hAnsi="Times New Roman" w:cs="Times New Roman"/>
        </w:rPr>
        <w:t>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15-64 ya grubu,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1F6532">
        <w:rPr>
          <w:rFonts w:ascii="Times New Roman" w:hAnsi="Times New Roman" w:cs="Times New Roman"/>
          <w:b/>
          <w:szCs w:val="18"/>
        </w:rPr>
        <w:t>Nisan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</w:p>
    <w:p w:rsidR="00A26574" w:rsidRDefault="00A74D07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0E88A52" wp14:editId="2AA3DC30">
            <wp:extent cx="5972810" cy="164020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7CCD" w:rsidRPr="00F87CCD" w:rsidRDefault="00F87CCD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09" w:rsidRDefault="00586F09" w:rsidP="00C04441">
      <w:pPr>
        <w:spacing w:after="0" w:line="240" w:lineRule="auto"/>
      </w:pPr>
      <w:r>
        <w:separator/>
      </w:r>
    </w:p>
  </w:endnote>
  <w:endnote w:type="continuationSeparator" w:id="0">
    <w:p w:rsidR="00586F09" w:rsidRDefault="00586F09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09" w:rsidRDefault="00586F09" w:rsidP="00C04441">
      <w:pPr>
        <w:spacing w:after="0" w:line="240" w:lineRule="auto"/>
      </w:pPr>
      <w:r>
        <w:separator/>
      </w:r>
    </w:p>
  </w:footnote>
  <w:footnote w:type="continuationSeparator" w:id="0">
    <w:p w:rsidR="00586F09" w:rsidRDefault="00586F09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701FD"/>
    <w:rsid w:val="000B7EA9"/>
    <w:rsid w:val="000D18BE"/>
    <w:rsid w:val="000E7256"/>
    <w:rsid w:val="000F055A"/>
    <w:rsid w:val="000F3A7D"/>
    <w:rsid w:val="000F534F"/>
    <w:rsid w:val="001243A0"/>
    <w:rsid w:val="0012715C"/>
    <w:rsid w:val="00141A4E"/>
    <w:rsid w:val="001544CF"/>
    <w:rsid w:val="00157358"/>
    <w:rsid w:val="00160C8F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6A4A"/>
    <w:rsid w:val="0027053F"/>
    <w:rsid w:val="00271FF8"/>
    <w:rsid w:val="002A35B5"/>
    <w:rsid w:val="002B53E4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E0504"/>
    <w:rsid w:val="00402F84"/>
    <w:rsid w:val="00412D10"/>
    <w:rsid w:val="00424CC0"/>
    <w:rsid w:val="00432DF5"/>
    <w:rsid w:val="00452794"/>
    <w:rsid w:val="00461AA0"/>
    <w:rsid w:val="00471191"/>
    <w:rsid w:val="00496F35"/>
    <w:rsid w:val="00516747"/>
    <w:rsid w:val="00517288"/>
    <w:rsid w:val="00522A6C"/>
    <w:rsid w:val="005405F5"/>
    <w:rsid w:val="005500E3"/>
    <w:rsid w:val="0056193B"/>
    <w:rsid w:val="00574C38"/>
    <w:rsid w:val="00586F09"/>
    <w:rsid w:val="005A5460"/>
    <w:rsid w:val="005C53F8"/>
    <w:rsid w:val="006020BD"/>
    <w:rsid w:val="00664D6B"/>
    <w:rsid w:val="00670F81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907AD"/>
    <w:rsid w:val="007B58E6"/>
    <w:rsid w:val="007E2233"/>
    <w:rsid w:val="007E639F"/>
    <w:rsid w:val="007E6560"/>
    <w:rsid w:val="007F7E1F"/>
    <w:rsid w:val="0082221F"/>
    <w:rsid w:val="00824AB5"/>
    <w:rsid w:val="00835D94"/>
    <w:rsid w:val="008820C9"/>
    <w:rsid w:val="008A575D"/>
    <w:rsid w:val="008B5FD9"/>
    <w:rsid w:val="008C2C15"/>
    <w:rsid w:val="008C7F9E"/>
    <w:rsid w:val="008D1077"/>
    <w:rsid w:val="008F0957"/>
    <w:rsid w:val="00907E0D"/>
    <w:rsid w:val="009113D4"/>
    <w:rsid w:val="00923FD3"/>
    <w:rsid w:val="00935B34"/>
    <w:rsid w:val="00965AE0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4D07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1D8B"/>
    <w:rsid w:val="00C67B1D"/>
    <w:rsid w:val="00C707D3"/>
    <w:rsid w:val="00C71B87"/>
    <w:rsid w:val="00C97EF7"/>
    <w:rsid w:val="00CC7D5F"/>
    <w:rsid w:val="00CD4A2C"/>
    <w:rsid w:val="00D20A2B"/>
    <w:rsid w:val="00D2299D"/>
    <w:rsid w:val="00D23355"/>
    <w:rsid w:val="00D605AD"/>
    <w:rsid w:val="00D93669"/>
    <w:rsid w:val="00DB1389"/>
    <w:rsid w:val="00DC5FDC"/>
    <w:rsid w:val="00DE7934"/>
    <w:rsid w:val="00E619A9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AD2065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eGrid">
    <w:name w:val="Table Grid"/>
    <w:basedOn w:val="TableNormal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TableNormal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DefaultParagraphFont"/>
    <w:link w:val="Heading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AD2065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eGrid">
    <w:name w:val="Table Grid"/>
    <w:basedOn w:val="TableNormal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TableNormal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DefaultParagraphFont"/>
    <w:link w:val="Heading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0717\HH_ANAL&#304;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Nisan!$Q$4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Nisan!$P$6:$P$18</c:f>
              <c:numCache>
                <c:formatCode>mmm\-yy</c:formatCode>
                <c:ptCount val="13"/>
                <c:pt idx="0">
                  <c:v>42461.0</c:v>
                </c:pt>
                <c:pt idx="1">
                  <c:v>42491.0</c:v>
                </c:pt>
                <c:pt idx="2">
                  <c:v>42522.0</c:v>
                </c:pt>
                <c:pt idx="3">
                  <c:v>42552.0</c:v>
                </c:pt>
                <c:pt idx="4">
                  <c:v>42583.0</c:v>
                </c:pt>
                <c:pt idx="5">
                  <c:v>42614.0</c:v>
                </c:pt>
                <c:pt idx="6">
                  <c:v>42644.0</c:v>
                </c:pt>
                <c:pt idx="7">
                  <c:v>42675.0</c:v>
                </c:pt>
                <c:pt idx="8">
                  <c:v>42705.0</c:v>
                </c:pt>
                <c:pt idx="9">
                  <c:v>42736.0</c:v>
                </c:pt>
                <c:pt idx="10">
                  <c:v>42767.0</c:v>
                </c:pt>
                <c:pt idx="11">
                  <c:v>42795.0</c:v>
                </c:pt>
                <c:pt idx="12">
                  <c:v>42826.0</c:v>
                </c:pt>
              </c:numCache>
            </c:numRef>
          </c:cat>
          <c:val>
            <c:numRef>
              <c:f>Nisan!$Q$6:$Q$18</c:f>
              <c:numCache>
                <c:formatCode>0.0</c:formatCode>
                <c:ptCount val="13"/>
                <c:pt idx="0">
                  <c:v>30.462</c:v>
                </c:pt>
                <c:pt idx="1">
                  <c:v>30.763</c:v>
                </c:pt>
                <c:pt idx="2">
                  <c:v>30.778</c:v>
                </c:pt>
                <c:pt idx="3">
                  <c:v>30.96099999999999</c:v>
                </c:pt>
                <c:pt idx="4">
                  <c:v>30.967</c:v>
                </c:pt>
                <c:pt idx="5">
                  <c:v>31.087</c:v>
                </c:pt>
                <c:pt idx="6">
                  <c:v>30.914</c:v>
                </c:pt>
                <c:pt idx="7">
                  <c:v>30.781</c:v>
                </c:pt>
                <c:pt idx="8">
                  <c:v>30.54</c:v>
                </c:pt>
                <c:pt idx="9">
                  <c:v>30.658</c:v>
                </c:pt>
                <c:pt idx="10">
                  <c:v>30.855</c:v>
                </c:pt>
                <c:pt idx="11">
                  <c:v>31.131</c:v>
                </c:pt>
                <c:pt idx="12">
                  <c:v>31.444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Nisan!$R$4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Nisan!$P$6:$P$18</c:f>
              <c:numCache>
                <c:formatCode>mmm\-yy</c:formatCode>
                <c:ptCount val="13"/>
                <c:pt idx="0">
                  <c:v>42461.0</c:v>
                </c:pt>
                <c:pt idx="1">
                  <c:v>42491.0</c:v>
                </c:pt>
                <c:pt idx="2">
                  <c:v>42522.0</c:v>
                </c:pt>
                <c:pt idx="3">
                  <c:v>42552.0</c:v>
                </c:pt>
                <c:pt idx="4">
                  <c:v>42583.0</c:v>
                </c:pt>
                <c:pt idx="5">
                  <c:v>42614.0</c:v>
                </c:pt>
                <c:pt idx="6">
                  <c:v>42644.0</c:v>
                </c:pt>
                <c:pt idx="7">
                  <c:v>42675.0</c:v>
                </c:pt>
                <c:pt idx="8">
                  <c:v>42705.0</c:v>
                </c:pt>
                <c:pt idx="9">
                  <c:v>42736.0</c:v>
                </c:pt>
                <c:pt idx="10">
                  <c:v>42767.0</c:v>
                </c:pt>
                <c:pt idx="11">
                  <c:v>42795.0</c:v>
                </c:pt>
                <c:pt idx="12">
                  <c:v>42826.0</c:v>
                </c:pt>
              </c:numCache>
            </c:numRef>
          </c:cat>
          <c:val>
            <c:numRef>
              <c:f>Nisan!$R$6:$R$18</c:f>
              <c:numCache>
                <c:formatCode>0.0</c:formatCode>
                <c:ptCount val="13"/>
                <c:pt idx="0">
                  <c:v>27.63800000000001</c:v>
                </c:pt>
                <c:pt idx="1">
                  <c:v>27.867</c:v>
                </c:pt>
                <c:pt idx="2">
                  <c:v>27.651</c:v>
                </c:pt>
                <c:pt idx="3">
                  <c:v>27.636</c:v>
                </c:pt>
                <c:pt idx="4">
                  <c:v>27.473</c:v>
                </c:pt>
                <c:pt idx="5">
                  <c:v>27.564</c:v>
                </c:pt>
                <c:pt idx="6">
                  <c:v>27.267</c:v>
                </c:pt>
                <c:pt idx="7">
                  <c:v>27.067</c:v>
                </c:pt>
                <c:pt idx="8">
                  <c:v>26.669</c:v>
                </c:pt>
                <c:pt idx="9">
                  <c:v>26.672</c:v>
                </c:pt>
                <c:pt idx="10">
                  <c:v>26.956</c:v>
                </c:pt>
                <c:pt idx="11">
                  <c:v>27.489</c:v>
                </c:pt>
                <c:pt idx="12">
                  <c:v>28.157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95769320"/>
        <c:axId val="2095612616"/>
      </c:lineChart>
      <c:dateAx>
        <c:axId val="20957693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b="0"/>
            </a:pPr>
            <a:endParaRPr lang="en-US"/>
          </a:p>
        </c:txPr>
        <c:crossAx val="2095612616"/>
        <c:crosses val="autoZero"/>
        <c:auto val="1"/>
        <c:lblOffset val="100"/>
        <c:baseTimeUnit val="months"/>
      </c:dateAx>
      <c:valAx>
        <c:axId val="2095612616"/>
        <c:scaling>
          <c:orientation val="minMax"/>
          <c:min val="25.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kişi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20957693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231700895208004"/>
          <c:y val="0.0679012345679012"/>
          <c:w val="0.953659820958399"/>
          <c:h val="0.6090147759307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Nisan!$A$39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Nisan!$B$38:$G$38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Nisan!$B$39:$G$39</c:f>
              <c:numCache>
                <c:formatCode>0.0</c:formatCode>
                <c:ptCount val="6"/>
                <c:pt idx="0">
                  <c:v>59.709</c:v>
                </c:pt>
                <c:pt idx="1">
                  <c:v>31.444</c:v>
                </c:pt>
                <c:pt idx="2">
                  <c:v>5.319999999999999</c:v>
                </c:pt>
                <c:pt idx="3">
                  <c:v>22.836</c:v>
                </c:pt>
                <c:pt idx="4">
                  <c:v>3.287</c:v>
                </c:pt>
                <c:pt idx="5">
                  <c:v>28.265</c:v>
                </c:pt>
              </c:numCache>
            </c:numRef>
          </c:val>
        </c:ser>
        <c:ser>
          <c:idx val="1"/>
          <c:order val="1"/>
          <c:tx>
            <c:strRef>
              <c:f>Nisan!$A$40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Nisan!$B$38:$G$38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Nisan!$B$40:$G$40</c:f>
              <c:numCache>
                <c:formatCode>0.0</c:formatCode>
                <c:ptCount val="6"/>
                <c:pt idx="0">
                  <c:v>29.55099999999999</c:v>
                </c:pt>
                <c:pt idx="1">
                  <c:v>21.371</c:v>
                </c:pt>
                <c:pt idx="2">
                  <c:v>2.914</c:v>
                </c:pt>
                <c:pt idx="3">
                  <c:v>16.503</c:v>
                </c:pt>
                <c:pt idx="4">
                  <c:v>1.954</c:v>
                </c:pt>
                <c:pt idx="5">
                  <c:v>8.18</c:v>
                </c:pt>
              </c:numCache>
            </c:numRef>
          </c:val>
        </c:ser>
        <c:ser>
          <c:idx val="2"/>
          <c:order val="2"/>
          <c:tx>
            <c:strRef>
              <c:f>Nisan!$A$41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Nisan!$B$38:$G$38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Nisan!$B$41:$G$41</c:f>
              <c:numCache>
                <c:formatCode>0.0</c:formatCode>
                <c:ptCount val="6"/>
                <c:pt idx="0">
                  <c:v>30.158</c:v>
                </c:pt>
                <c:pt idx="1">
                  <c:v>10.073</c:v>
                </c:pt>
                <c:pt idx="2">
                  <c:v>2.406</c:v>
                </c:pt>
                <c:pt idx="3">
                  <c:v>6.333</c:v>
                </c:pt>
                <c:pt idx="4">
                  <c:v>1.334</c:v>
                </c:pt>
                <c:pt idx="5">
                  <c:v>20.085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40402648"/>
        <c:axId val="2039591048"/>
      </c:barChart>
      <c:catAx>
        <c:axId val="2040402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9591048"/>
        <c:crosses val="autoZero"/>
        <c:auto val="1"/>
        <c:lblAlgn val="ctr"/>
        <c:lblOffset val="100"/>
        <c:noMultiLvlLbl val="0"/>
      </c:catAx>
      <c:valAx>
        <c:axId val="20395910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040402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Nisan!$A$27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Nisan!$B$26:$E$26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Nisan!$B$27:$E$27</c:f>
              <c:numCache>
                <c:formatCode>General</c:formatCode>
                <c:ptCount val="4"/>
                <c:pt idx="0">
                  <c:v>52.7</c:v>
                </c:pt>
                <c:pt idx="1">
                  <c:v>47.2</c:v>
                </c:pt>
                <c:pt idx="2">
                  <c:v>10.5</c:v>
                </c:pt>
                <c:pt idx="3">
                  <c:v>12.4</c:v>
                </c:pt>
              </c:numCache>
            </c:numRef>
          </c:val>
        </c:ser>
        <c:ser>
          <c:idx val="1"/>
          <c:order val="1"/>
          <c:tx>
            <c:strRef>
              <c:f>Nisan!$A$28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</c:spPr>
          <c:invertIfNegative val="0"/>
          <c:cat>
            <c:strRef>
              <c:f>Nisan!$B$26:$E$26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Nisan!$B$28:$E$28</c:f>
              <c:numCache>
                <c:formatCode>General</c:formatCode>
                <c:ptCount val="4"/>
                <c:pt idx="0">
                  <c:v>72.3</c:v>
                </c:pt>
                <c:pt idx="1">
                  <c:v>65.7</c:v>
                </c:pt>
                <c:pt idx="2">
                  <c:v>9.1</c:v>
                </c:pt>
                <c:pt idx="3">
                  <c:v>10.3</c:v>
                </c:pt>
              </c:numCache>
            </c:numRef>
          </c:val>
        </c:ser>
        <c:ser>
          <c:idx val="2"/>
          <c:order val="2"/>
          <c:tx>
            <c:strRef>
              <c:f>Nisan!$A$29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cat>
            <c:strRef>
              <c:f>Nisan!$B$26:$E$26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Nisan!$B$29:$E$29</c:f>
              <c:numCache>
                <c:formatCode>General</c:formatCode>
                <c:ptCount val="4"/>
                <c:pt idx="0">
                  <c:v>33.4</c:v>
                </c:pt>
                <c:pt idx="1">
                  <c:v>29.0</c:v>
                </c:pt>
                <c:pt idx="2">
                  <c:v>13.2</c:v>
                </c:pt>
                <c:pt idx="3">
                  <c:v>17.3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95918072"/>
        <c:axId val="2095921128"/>
      </c:barChart>
      <c:catAx>
        <c:axId val="2095918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5921128"/>
        <c:crosses val="autoZero"/>
        <c:auto val="1"/>
        <c:lblAlgn val="ctr"/>
        <c:lblOffset val="100"/>
        <c:noMultiLvlLbl val="0"/>
      </c:catAx>
      <c:valAx>
        <c:axId val="2095921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959180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FFDAD-CA90-B941-A97F-39C1043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1747</Characters>
  <Application>Microsoft Macintosh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Bengisu</cp:lastModifiedBy>
  <cp:revision>2</cp:revision>
  <cp:lastPrinted>2015-01-15T08:00:00Z</cp:lastPrinted>
  <dcterms:created xsi:type="dcterms:W3CDTF">2017-07-18T13:27:00Z</dcterms:created>
  <dcterms:modified xsi:type="dcterms:W3CDTF">2017-07-18T13:27:00Z</dcterms:modified>
</cp:coreProperties>
</file>